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03020"/>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0302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93409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93409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w:t>
      </w:r>
      <w:r>
        <w:t xml:space="preserve"> </w:t>
      </w:r>
      <w:r>
        <w:rPr>
          <w:bCs/>
          <w:b/>
        </w:rPr>
        <w:t xml:space="preserve">vogelSunLeavesShade19688?</w:t>
      </w:r>
      <w:r>
        <w:t xml:space="preserve">)</w:t>
      </w:r>
      <w:r>
        <w:t xml:space="preserve"> </w:t>
      </w:r>
      <w:r>
        <w:t xml:space="preserve">and this tendency grew given the parallel differences observed as for plants grown in sun versus shade conditions</w:t>
      </w:r>
      <w:r>
        <w:t xml:space="preserve"> </w:t>
      </w:r>
      <w:r>
        <w:t xml:space="preserve">(Boardman, 1977; Abrams &amp; Kubiske, 1990)</w:t>
      </w:r>
      <w:r>
        <w:t xml:space="preserve">.</w:t>
      </w:r>
      <w:r>
        <w:t xml:space="preserve"> </w:t>
      </w:r>
      <w:r>
        <w:t xml:space="preserve">More recent work has included a focus not only on shade,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 [Table 1;</w:t>
      </w:r>
      <w:r>
        <w:t xml:space="preserve"> </w:t>
      </w:r>
      <w:r>
        <w:t xml:space="preserve">Carter</w:t>
      </w:r>
      <w:r>
        <w:t xml:space="preserve"> </w:t>
      </w:r>
      <w:r>
        <w:rPr>
          <w:iCs/>
          <w:i/>
        </w:rPr>
        <w:t xml:space="preserve">et al.</w:t>
      </w:r>
      <w:r>
        <w:t xml:space="preserve"> </w:t>
      </w:r>
      <w:r>
        <w:t xml:space="preserve">(2021)</w:t>
      </w:r>
      <w:r>
        <w:t xml:space="preserve">;</w:t>
      </w:r>
      <w:r>
        <w:t xml:space="preserve"> </w:t>
      </w:r>
      <w:r>
        <w:t xml:space="preserve">Niinemets (2010a)</w:t>
      </w:r>
      <w:r>
        <w:t xml:space="preserve">;</w:t>
      </w:r>
      <w:r>
        <w:t xml:space="preserve"> </w:t>
      </w:r>
      <w:r>
        <w:t xml:space="preserve">Casas</w:t>
      </w:r>
      <w:r>
        <w:t xml:space="preserve"> </w:t>
      </w:r>
      <w:r>
        <w:rPr>
          <w:iCs/>
          <w:i/>
        </w:rPr>
        <w:t xml:space="preserve">et al.</w:t>
      </w:r>
      <w:r>
        <w:t xml:space="preserve"> </w:t>
      </w:r>
      <w:r>
        <w:t xml:space="preserve">(2011)</w:t>
      </w:r>
      <w:r>
        <w:t xml:space="preserve">;</w:t>
      </w:r>
      <w:r>
        <w:t xml:space="preserve"> </w:t>
      </w:r>
      <w:r>
        <w:t xml:space="preserve">Keenan &amp; Niinemets (2016)</w:t>
      </w:r>
      <w:r>
        <w:t xml:space="preserve">;</w:t>
      </w:r>
      <w:r>
        <w:t xml:space="preserve"> </w:t>
      </w:r>
      <w:r>
        <w:t xml:space="preserve">Bin</w:t>
      </w:r>
      <w:r>
        <w:t xml:space="preserve"> </w:t>
      </w:r>
      <w:r>
        <w:rPr>
          <w:iCs/>
          <w:i/>
        </w:rPr>
        <w:t xml:space="preserve">et al.</w:t>
      </w:r>
      <w:r>
        <w:t xml:space="preserve"> </w:t>
      </w:r>
      <w:r>
        <w:t xml:space="preserve">(2022)</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rPr>
          <w:bCs/>
          <w:b/>
        </w:rPr>
        <w:t xml:space="preserve">Niinemets et al., 2015a</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 (</w:t>
      </w:r>
      <w:r>
        <w:rPr>
          <w:bCs/>
          <w:b/>
        </w:rPr>
        <w:t xml:space="preserve">cite Niinemets papers on this, as well as Japanese papers on N allocation throughout the canopy</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Keenan &amp; Niinemets (2016)</w:t>
      </w:r>
      <w:r>
        <w:t xml:space="preserve">, and as canopy shade is known to alter these trait relationships (</w:t>
      </w:r>
      <w:r>
        <w:rPr>
          <w:bCs/>
          <w:b/>
        </w:rPr>
        <w:t xml:space="preserve">Osnas et al. 2018 PNAS</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with height and across shaded and sunny positions</w:t>
      </w:r>
      <w:r>
        <w:t xml:space="preserve"> </w:t>
      </w:r>
      <w:r>
        <w:t xml:space="preserve">(e.g.,</w:t>
      </w:r>
      <w:r>
        <w:t xml:space="preserve"> </w:t>
      </w:r>
      <w:r>
        <w:rPr>
          <w:bCs/>
          <w:b/>
        </w:rPr>
        <w:t xml:space="preserve">example_within-individual_references?</w:t>
      </w:r>
      <w:r>
        <w:t xml:space="preserve">)</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canopy and understory species</w:t>
      </w:r>
      <w:r>
        <w:t xml:space="preserve"> </w:t>
      </w:r>
      <w:r>
        <w:t xml:space="preserve">(e.g.,</w:t>
      </w:r>
      <w:r>
        <w:t xml:space="preserve"> </w:t>
      </w:r>
      <w:r>
        <w:rPr>
          <w:bCs/>
          <w:b/>
        </w:rPr>
        <w:t xml:space="preserve">example_interspecific_references?</w:t>
      </w:r>
      <w:r>
        <w:t xml:space="preserve">)</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of leaves are influenced by a combination of anatomical, morphological, and biochemical traits that vary vertically, as outlined above.</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below), and is only modestly greater in sun leaves or mid-canopy leaves than shade leaves.</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through caretenoid concentrations</w:t>
      </w:r>
      <w:r>
        <w:t xml:space="preserve"> </w:t>
      </w:r>
      <w:r>
        <w:t xml:space="preserve">(Lee</w:t>
      </w:r>
      <w:r>
        <w:t xml:space="preserve"> </w:t>
      </w:r>
      <w:r>
        <w:rPr>
          <w:iCs/>
          <w:i/>
        </w:rPr>
        <w:t xml:space="preserve">et al.</w:t>
      </w:r>
      <w:r>
        <w:t xml:space="preserve">, 1990; Table 1,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reduces light transmittance or light scattered after entering the leaf more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However, in the understory or shade regions where PAR is more limiting, leaf light absorption efficiency is greater, enhanced by shade leaves maintaining higher SLA, denser layers of chloroplasts, shorter, fewer layers of conical palisade cells, higher nitrogen, and chlorophyll per unit biomass that exemplifies optical absorption capabilities, resulting in similar chlorophyll concentration per unit area as in sun leaves.</w:t>
      </w:r>
      <w:r>
        <w:t xml:space="preserve"> </w:t>
      </w:r>
      <w:r>
        <w:t xml:space="preserve">Therefore, shade leaves can have comparable light harvesting capabilities as in sun leaves, and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r>
        <w:t xml:space="preserve"> </w:t>
      </w:r>
      <w:r>
        <w:t xml:space="preserve">Thus, while canopy leaves tend to invest more energy in metabolic activity and heat dissipation, understory leaves invest in light capture.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associated stomatal closure from VPD can indirectly reduce the capacity to use light energy for photochemistry, thereby increasing the potential for photoinhibition.</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leaves deeper in the canopy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r>
        <w:t xml:space="preserve"> </w:t>
      </w:r>
      <w:r>
        <w:t xml:space="preserve">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w:r>
        <w:t xml:space="preserve"> </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crowns of</w:t>
      </w:r>
      <w:r>
        <w:t xml:space="preserve"> </w:t>
      </w:r>
      <w:r>
        <w:rPr>
          <w:iCs/>
          <w:i/>
        </w:rPr>
        <w:t xml:space="preserve">Acacia papyrocarpa</w:t>
      </w:r>
      <w:r>
        <w:t xml:space="preserve"> </w:t>
      </w:r>
      <w:r>
        <w:t xml:space="preserve">Benth. faced the greatest composite climate stress – including low wind speed, greater radiation and</w:t>
      </w:r>
      <w:r>
        <w:t xml:space="preserve"> </w:t>
      </w:r>
      <m:oMath>
        <m:sSub>
          <m:e>
            <m:r>
              <m:t>T</m:t>
            </m:r>
          </m:e>
          <m:sub>
            <m:r>
              <m:t>a</m:t>
            </m:r>
            <m:r>
              <m:t>i</m:t>
            </m:r>
            <m:r>
              <m:t>r</m:t>
            </m:r>
          </m:sub>
        </m:sSub>
      </m:oMath>
      <w:r>
        <w:t xml:space="preserve">, and lower rates of heat dissipation –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w:r>
        <w:t xml:space="preserve"> </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seedlings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p>
    <w:p>
      <w:r>
        <w:br w:type="page"/>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2" w:name="references"/>
    <w:p>
      <w:pPr>
        <w:pStyle w:val="Heading2"/>
      </w:pPr>
      <w:r>
        <w:t xml:space="preserve">References</w:t>
      </w:r>
    </w:p>
    <w:bookmarkStart w:id="401"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5"/>
    <w:bookmarkStart w:id="106"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6"/>
    <w:bookmarkStart w:id="107"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7"/>
    <w:bookmarkStart w:id="108"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8"/>
    <w:bookmarkStart w:id="109"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9"/>
    <w:bookmarkStart w:id="110"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0"/>
    <w:bookmarkStart w:id="111"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1"/>
    <w:bookmarkStart w:id="112"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2"/>
    <w:bookmarkStart w:id="113"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3"/>
    <w:bookmarkStart w:id="114"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4"/>
    <w:bookmarkStart w:id="115"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5"/>
    <w:bookmarkStart w:id="116"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6"/>
    <w:bookmarkStart w:id="117"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7"/>
    <w:bookmarkStart w:id="118"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8"/>
    <w:bookmarkStart w:id="119"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9"/>
    <w:bookmarkStart w:id="120"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0"/>
    <w:bookmarkStart w:id="121"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1"/>
    <w:bookmarkStart w:id="122"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2"/>
    <w:bookmarkStart w:id="123"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3"/>
    <w:bookmarkStart w:id="124"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4"/>
    <w:bookmarkStart w:id="125"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5"/>
    <w:bookmarkStart w:id="126"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6"/>
    <w:bookmarkStart w:id="12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7"/>
    <w:bookmarkStart w:id="12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8"/>
    <w:bookmarkStart w:id="12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9"/>
    <w:bookmarkStart w:id="130"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0"/>
    <w:bookmarkStart w:id="131"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1"/>
    <w:bookmarkStart w:id="132"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2"/>
    <w:bookmarkStart w:id="133"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3"/>
    <w:bookmarkStart w:id="134"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4"/>
    <w:bookmarkStart w:id="13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5"/>
    <w:bookmarkStart w:id="13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6"/>
    <w:bookmarkStart w:id="137"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7"/>
    <w:bookmarkStart w:id="138"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8"/>
    <w:bookmarkStart w:id="139"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9"/>
    <w:bookmarkStart w:id="140"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0"/>
    <w:bookmarkStart w:id="141"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1"/>
    <w:bookmarkStart w:id="142"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2"/>
    <w:bookmarkStart w:id="143"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3"/>
    <w:bookmarkStart w:id="144"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7"/>
    <w:bookmarkStart w:id="15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8"/>
    <w:bookmarkStart w:id="15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9"/>
    <w:bookmarkStart w:id="16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0"/>
    <w:bookmarkStart w:id="161"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1"/>
    <w:bookmarkStart w:id="16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2"/>
    <w:bookmarkStart w:id="16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3"/>
    <w:bookmarkStart w:id="16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4"/>
    <w:bookmarkStart w:id="165"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5"/>
    <w:bookmarkStart w:id="16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6"/>
    <w:bookmarkStart w:id="16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7"/>
    <w:bookmarkStart w:id="16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8"/>
    <w:bookmarkStart w:id="16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9"/>
    <w:bookmarkStart w:id="170"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0"/>
    <w:bookmarkStart w:id="17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1"/>
    <w:bookmarkStart w:id="172"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2"/>
    <w:bookmarkStart w:id="17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3"/>
    <w:bookmarkStart w:id="174"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4"/>
    <w:bookmarkStart w:id="175"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5"/>
    <w:bookmarkStart w:id="17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6"/>
    <w:bookmarkStart w:id="177"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7"/>
    <w:bookmarkStart w:id="178"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8"/>
    <w:bookmarkStart w:id="179"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9"/>
    <w:bookmarkStart w:id="180"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0"/>
    <w:bookmarkStart w:id="181"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1"/>
    <w:bookmarkStart w:id="182"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2"/>
    <w:bookmarkStart w:id="183"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3"/>
    <w:bookmarkStart w:id="18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4"/>
    <w:bookmarkStart w:id="185"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5"/>
    <w:bookmarkStart w:id="186"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6"/>
    <w:bookmarkStart w:id="18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7"/>
    <w:bookmarkStart w:id="18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8"/>
    <w:bookmarkStart w:id="18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9"/>
    <w:bookmarkStart w:id="19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0"/>
    <w:bookmarkStart w:id="19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1"/>
    <w:bookmarkStart w:id="19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2"/>
    <w:bookmarkStart w:id="19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3"/>
    <w:bookmarkStart w:id="19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4"/>
    <w:bookmarkStart w:id="19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5"/>
    <w:bookmarkStart w:id="19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6"/>
    <w:bookmarkStart w:id="19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7"/>
    <w:bookmarkStart w:id="19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8"/>
    <w:bookmarkStart w:id="19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9"/>
    <w:bookmarkStart w:id="20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0"/>
    <w:bookmarkStart w:id="20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1"/>
    <w:bookmarkStart w:id="20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2"/>
    <w:bookmarkStart w:id="20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3"/>
    <w:bookmarkStart w:id="20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4"/>
    <w:bookmarkStart w:id="20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5"/>
    <w:bookmarkStart w:id="206"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6"/>
    <w:bookmarkStart w:id="20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7"/>
    <w:bookmarkStart w:id="208"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8"/>
    <w:bookmarkStart w:id="20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9"/>
    <w:bookmarkStart w:id="21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7"/>
    <w:bookmarkStart w:id="218"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8"/>
    <w:bookmarkStart w:id="219"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9"/>
    <w:bookmarkStart w:id="220"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0"/>
    <w:bookmarkStart w:id="22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1"/>
    <w:bookmarkStart w:id="222"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2"/>
    <w:bookmarkStart w:id="223"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3"/>
    <w:bookmarkStart w:id="22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4"/>
    <w:bookmarkStart w:id="22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5"/>
    <w:bookmarkStart w:id="226"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6"/>
    <w:bookmarkStart w:id="227"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7"/>
    <w:bookmarkStart w:id="22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8"/>
    <w:bookmarkStart w:id="22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9"/>
    <w:bookmarkStart w:id="23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0"/>
    <w:bookmarkStart w:id="23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1"/>
    <w:bookmarkStart w:id="23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2"/>
    <w:bookmarkStart w:id="233"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3"/>
    <w:bookmarkStart w:id="234"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4"/>
    <w:bookmarkStart w:id="23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5"/>
    <w:bookmarkStart w:id="23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6"/>
    <w:bookmarkStart w:id="23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7"/>
    <w:bookmarkStart w:id="23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8"/>
    <w:bookmarkStart w:id="23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9"/>
    <w:bookmarkStart w:id="24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0"/>
    <w:bookmarkStart w:id="24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1"/>
    <w:bookmarkStart w:id="24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2"/>
    <w:bookmarkStart w:id="243"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3"/>
    <w:bookmarkStart w:id="24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4"/>
    <w:bookmarkStart w:id="24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5"/>
    <w:bookmarkStart w:id="24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6"/>
    <w:bookmarkStart w:id="24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7"/>
    <w:bookmarkStart w:id="24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8"/>
    <w:bookmarkStart w:id="24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9"/>
    <w:bookmarkStart w:id="25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0"/>
    <w:bookmarkStart w:id="25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1"/>
    <w:bookmarkStart w:id="252"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2"/>
    <w:bookmarkStart w:id="25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3"/>
    <w:bookmarkStart w:id="25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4"/>
    <w:bookmarkStart w:id="25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5"/>
    <w:bookmarkStart w:id="25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6"/>
    <w:bookmarkStart w:id="25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7"/>
    <w:bookmarkStart w:id="25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8"/>
    <w:bookmarkStart w:id="25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9"/>
    <w:bookmarkStart w:id="2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0"/>
    <w:bookmarkStart w:id="26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1"/>
    <w:bookmarkStart w:id="26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2"/>
    <w:bookmarkStart w:id="26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3"/>
    <w:bookmarkStart w:id="26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4"/>
    <w:bookmarkStart w:id="26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5"/>
    <w:bookmarkStart w:id="26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6"/>
    <w:bookmarkStart w:id="26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7"/>
    <w:bookmarkStart w:id="26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8"/>
    <w:bookmarkStart w:id="26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9"/>
    <w:bookmarkStart w:id="27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0"/>
    <w:bookmarkStart w:id="27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1"/>
    <w:bookmarkStart w:id="27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2"/>
    <w:bookmarkStart w:id="27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3"/>
    <w:bookmarkStart w:id="27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4"/>
    <w:bookmarkStart w:id="275"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5"/>
    <w:bookmarkStart w:id="276"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6"/>
    <w:bookmarkStart w:id="277"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7"/>
    <w:bookmarkStart w:id="278"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8"/>
    <w:bookmarkStart w:id="279"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9"/>
    <w:bookmarkStart w:id="28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0"/>
    <w:bookmarkStart w:id="281"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1"/>
    <w:bookmarkStart w:id="282"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2"/>
    <w:bookmarkStart w:id="28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3"/>
    <w:bookmarkStart w:id="28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4"/>
    <w:bookmarkStart w:id="285"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5"/>
    <w:bookmarkStart w:id="286"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6"/>
    <w:bookmarkStart w:id="287"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7"/>
    <w:bookmarkStart w:id="28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8"/>
    <w:bookmarkStart w:id="28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9"/>
    <w:bookmarkStart w:id="29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0"/>
    <w:bookmarkStart w:id="29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1"/>
    <w:bookmarkStart w:id="292"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2"/>
    <w:bookmarkStart w:id="293"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3"/>
    <w:bookmarkStart w:id="29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4"/>
    <w:bookmarkStart w:id="29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5"/>
    <w:bookmarkStart w:id="296"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6"/>
    <w:bookmarkStart w:id="297"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7"/>
    <w:bookmarkStart w:id="29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8"/>
    <w:bookmarkStart w:id="299"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9"/>
    <w:bookmarkStart w:id="30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0"/>
    <w:bookmarkStart w:id="30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1"/>
    <w:bookmarkStart w:id="30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2"/>
    <w:bookmarkStart w:id="30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3"/>
    <w:bookmarkStart w:id="304"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4"/>
    <w:bookmarkStart w:id="30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5"/>
    <w:bookmarkStart w:id="306"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6"/>
    <w:bookmarkStart w:id="307"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7"/>
    <w:bookmarkStart w:id="30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8"/>
    <w:bookmarkStart w:id="30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9"/>
    <w:bookmarkStart w:id="31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0"/>
    <w:bookmarkStart w:id="31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1"/>
    <w:bookmarkStart w:id="31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2"/>
    <w:bookmarkStart w:id="31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3"/>
    <w:bookmarkStart w:id="31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4"/>
    <w:bookmarkStart w:id="31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5"/>
    <w:bookmarkStart w:id="31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6"/>
    <w:bookmarkStart w:id="31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7"/>
    <w:bookmarkStart w:id="318"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8"/>
    <w:bookmarkStart w:id="319"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9"/>
    <w:bookmarkStart w:id="32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0"/>
    <w:bookmarkStart w:id="321"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1"/>
    <w:bookmarkStart w:id="322"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2"/>
    <w:bookmarkStart w:id="323"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3"/>
    <w:bookmarkStart w:id="32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4"/>
    <w:bookmarkStart w:id="325"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5"/>
    <w:bookmarkStart w:id="326"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6"/>
    <w:bookmarkStart w:id="32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7"/>
    <w:bookmarkStart w:id="328"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8"/>
    <w:bookmarkStart w:id="329"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9"/>
    <w:bookmarkStart w:id="330"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0"/>
    <w:bookmarkStart w:id="331"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1"/>
    <w:bookmarkStart w:id="332"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2"/>
    <w:bookmarkStart w:id="333"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3"/>
    <w:bookmarkStart w:id="33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4"/>
    <w:bookmarkStart w:id="335"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5"/>
    <w:bookmarkStart w:id="33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6"/>
    <w:bookmarkStart w:id="33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7"/>
    <w:bookmarkStart w:id="33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8"/>
    <w:bookmarkStart w:id="33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9"/>
    <w:bookmarkStart w:id="34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0"/>
    <w:bookmarkStart w:id="34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1"/>
    <w:bookmarkStart w:id="34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2"/>
    <w:bookmarkStart w:id="34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3"/>
    <w:bookmarkStart w:id="34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4"/>
    <w:bookmarkStart w:id="34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5"/>
    <w:bookmarkStart w:id="34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6"/>
    <w:bookmarkStart w:id="34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7"/>
    <w:bookmarkStart w:id="34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8"/>
    <w:bookmarkStart w:id="34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9"/>
    <w:bookmarkStart w:id="350"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0"/>
    <w:bookmarkStart w:id="351"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1"/>
    <w:bookmarkStart w:id="352"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2"/>
    <w:bookmarkStart w:id="35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3"/>
    <w:bookmarkStart w:id="354"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4"/>
    <w:bookmarkStart w:id="355"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5"/>
    <w:bookmarkStart w:id="356"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6"/>
    <w:bookmarkStart w:id="357"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7"/>
    <w:bookmarkStart w:id="358"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8"/>
    <w:bookmarkStart w:id="359"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9"/>
    <w:bookmarkStart w:id="360"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0"/>
    <w:bookmarkStart w:id="361"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1"/>
    <w:bookmarkStart w:id="36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2"/>
    <w:bookmarkStart w:id="36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3"/>
    <w:bookmarkStart w:id="36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4"/>
    <w:bookmarkStart w:id="36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5"/>
    <w:bookmarkStart w:id="36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6"/>
    <w:bookmarkStart w:id="367"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7"/>
    <w:bookmarkStart w:id="36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8"/>
    <w:bookmarkStart w:id="36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9"/>
    <w:bookmarkStart w:id="37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0"/>
    <w:bookmarkStart w:id="37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1"/>
    <w:bookmarkStart w:id="37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2"/>
    <w:bookmarkStart w:id="37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3"/>
    <w:bookmarkStart w:id="37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4"/>
    <w:bookmarkStart w:id="375"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5"/>
    <w:bookmarkStart w:id="376"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6"/>
    <w:bookmarkStart w:id="377"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7"/>
    <w:bookmarkStart w:id="37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8"/>
    <w:bookmarkStart w:id="37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9"/>
    <w:bookmarkStart w:id="38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0"/>
    <w:bookmarkStart w:id="38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1"/>
    <w:bookmarkStart w:id="38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2"/>
    <w:bookmarkStart w:id="38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3"/>
    <w:bookmarkStart w:id="38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4"/>
    <w:bookmarkStart w:id="38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5"/>
    <w:bookmarkStart w:id="38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6"/>
    <w:bookmarkStart w:id="38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7"/>
    <w:bookmarkStart w:id="38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8"/>
    <w:bookmarkStart w:id="38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9"/>
    <w:bookmarkStart w:id="39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0"/>
    <w:bookmarkStart w:id="39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1"/>
    <w:bookmarkStart w:id="39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2"/>
    <w:bookmarkStart w:id="393"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3"/>
    <w:bookmarkStart w:id="39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4"/>
    <w:bookmarkStart w:id="39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5"/>
    <w:bookmarkStart w:id="39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96"/>
    <w:bookmarkStart w:id="39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7"/>
    <w:bookmarkStart w:id="39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8"/>
    <w:bookmarkStart w:id="39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9"/>
    <w:bookmarkStart w:id="40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0"/>
    <w:bookmarkEnd w:id="401"/>
    <w:bookmarkEnd w:id="402"/>
    <w:bookmarkEnd w:id="4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2022-02-17T12:47:16Z</dcterms:created>
  <dcterms:modified xsi:type="dcterms:W3CDTF">2022-02-17T12:47:16Z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